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547EC">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评审办法附表</w:t>
      </w:r>
    </w:p>
    <w:bookmarkEnd w:id="0"/>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834"/>
        <w:gridCol w:w="835"/>
        <w:gridCol w:w="1425"/>
        <w:gridCol w:w="4427"/>
      </w:tblGrid>
      <w:tr w14:paraId="5C5C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center"/>
          </w:tcPr>
          <w:p w14:paraId="0EE6A08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1669" w:type="dxa"/>
            <w:gridSpan w:val="2"/>
            <w:noWrap w:val="0"/>
            <w:vAlign w:val="center"/>
          </w:tcPr>
          <w:p w14:paraId="123917A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评审因素</w:t>
            </w:r>
          </w:p>
        </w:tc>
        <w:tc>
          <w:tcPr>
            <w:tcW w:w="1425" w:type="dxa"/>
            <w:noWrap w:val="0"/>
            <w:vAlign w:val="center"/>
          </w:tcPr>
          <w:p w14:paraId="6DB76FB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分值（满分100分）</w:t>
            </w:r>
          </w:p>
        </w:tc>
        <w:tc>
          <w:tcPr>
            <w:tcW w:w="4427" w:type="dxa"/>
            <w:noWrap w:val="0"/>
            <w:vAlign w:val="center"/>
          </w:tcPr>
          <w:p w14:paraId="777163C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评审标准</w:t>
            </w:r>
          </w:p>
        </w:tc>
      </w:tr>
      <w:tr w14:paraId="5EB2D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top"/>
          </w:tcPr>
          <w:p w14:paraId="1165715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1</w:t>
            </w:r>
          </w:p>
        </w:tc>
        <w:tc>
          <w:tcPr>
            <w:tcW w:w="1669" w:type="dxa"/>
            <w:gridSpan w:val="2"/>
            <w:noWrap w:val="0"/>
            <w:vAlign w:val="top"/>
          </w:tcPr>
          <w:p w14:paraId="0533250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报价得分</w:t>
            </w:r>
          </w:p>
        </w:tc>
        <w:tc>
          <w:tcPr>
            <w:tcW w:w="1425" w:type="dxa"/>
            <w:noWrap w:val="0"/>
            <w:vAlign w:val="top"/>
          </w:tcPr>
          <w:p w14:paraId="720C8F9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30</w:t>
            </w:r>
          </w:p>
        </w:tc>
        <w:tc>
          <w:tcPr>
            <w:tcW w:w="4427" w:type="dxa"/>
            <w:noWrap w:val="0"/>
            <w:vAlign w:val="top"/>
          </w:tcPr>
          <w:p w14:paraId="44E7645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以所有有效报价的算术平均数为评审基准价</w:t>
            </w:r>
            <w:r>
              <w:rPr>
                <w:rFonts w:hint="eastAsia" w:ascii="仿宋_GB2312" w:hAnsi="仿宋_GB2312" w:eastAsia="仿宋_GB2312" w:cs="仿宋_GB2312"/>
                <w:sz w:val="28"/>
                <w:szCs w:val="28"/>
                <w:lang w:val="en-US" w:eastAsia="zh-CN"/>
              </w:rPr>
              <w:t>【</w:t>
            </w:r>
            <w:r>
              <w:rPr>
                <w:rFonts w:hint="eastAsia" w:ascii="黑体" w:hAnsi="黑体" w:eastAsia="黑体" w:cs="黑体"/>
                <w:sz w:val="28"/>
                <w:szCs w:val="28"/>
                <w:lang w:val="en-US" w:eastAsia="zh-CN"/>
              </w:rPr>
              <w:t>有效报价超过5（不含）家时，去掉1个最高有效报价，去掉一个最低有效报价，然后进行算术平均</w:t>
            </w:r>
            <w:r>
              <w:rPr>
                <w:rFonts w:hint="eastAsia" w:ascii="仿宋_GB2312" w:hAnsi="仿宋_GB2312" w:eastAsia="仿宋_GB2312" w:cs="仿宋_GB2312"/>
                <w:sz w:val="28"/>
                <w:szCs w:val="28"/>
                <w:lang w:val="en-US" w:eastAsia="zh-CN"/>
              </w:rPr>
              <w:t>】</w:t>
            </w:r>
            <w:r>
              <w:rPr>
                <w:rFonts w:hint="eastAsia" w:ascii="黑体" w:hAnsi="黑体" w:eastAsia="黑体" w:cs="黑体"/>
                <w:sz w:val="28"/>
                <w:szCs w:val="28"/>
                <w:lang w:val="en-US" w:eastAsia="zh-CN"/>
              </w:rPr>
              <w:t>。</w:t>
            </w:r>
          </w:p>
          <w:p w14:paraId="1FF8666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偏差率=(比选单位报价-评审基准价)/评审基准价×100%。</w:t>
            </w:r>
          </w:p>
          <w:p w14:paraId="2A6F0D1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lang w:val="en-US" w:eastAsia="zh-CN"/>
              </w:rPr>
            </w:pPr>
            <w:r>
              <w:rPr>
                <w:rFonts w:hint="eastAsia" w:ascii="黑体" w:hAnsi="黑体" w:eastAsia="黑体" w:cs="黑体"/>
                <w:sz w:val="28"/>
                <w:szCs w:val="28"/>
                <w:lang w:val="en-US" w:eastAsia="zh-CN"/>
              </w:rPr>
              <w:t>报价等于评审基准价的得满分，每高于评审基准价1%（含），扣0.2分（E</w:t>
            </w:r>
            <w:r>
              <w:rPr>
                <w:rFonts w:hint="eastAsia" w:ascii="黑体" w:hAnsi="黑体" w:eastAsia="黑体" w:cs="黑体"/>
                <w:sz w:val="28"/>
                <w:szCs w:val="28"/>
                <w:vertAlign w:val="subscript"/>
                <w:lang w:val="en-US" w:eastAsia="zh-CN"/>
              </w:rPr>
              <w:t>1</w:t>
            </w:r>
            <w:r>
              <w:rPr>
                <w:rFonts w:hint="eastAsia" w:ascii="黑体" w:hAnsi="黑体" w:eastAsia="黑体" w:cs="黑体"/>
                <w:sz w:val="28"/>
                <w:szCs w:val="28"/>
                <w:lang w:val="en-US" w:eastAsia="zh-CN"/>
              </w:rPr>
              <w:t>）；每低于评审基准价1%（含），扣0.1分（E</w:t>
            </w:r>
            <w:r>
              <w:rPr>
                <w:rFonts w:hint="eastAsia" w:ascii="黑体" w:hAnsi="黑体" w:eastAsia="黑体" w:cs="黑体"/>
                <w:sz w:val="28"/>
                <w:szCs w:val="28"/>
                <w:vertAlign w:val="subscript"/>
                <w:lang w:val="en-US" w:eastAsia="zh-CN"/>
              </w:rPr>
              <w:t>2</w:t>
            </w:r>
            <w:r>
              <w:rPr>
                <w:rFonts w:hint="eastAsia" w:ascii="黑体" w:hAnsi="黑体" w:eastAsia="黑体" w:cs="黑体"/>
                <w:sz w:val="28"/>
                <w:szCs w:val="28"/>
                <w:lang w:val="en-US" w:eastAsia="zh-CN"/>
              </w:rPr>
              <w:t>）。</w:t>
            </w:r>
          </w:p>
          <w:p w14:paraId="0B79C28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lang w:val="en-US" w:eastAsia="zh-CN"/>
              </w:rPr>
            </w:pPr>
            <w:r>
              <w:rPr>
                <w:rFonts w:hint="eastAsia" w:ascii="黑体" w:hAnsi="黑体" w:eastAsia="黑体" w:cs="黑体"/>
                <w:sz w:val="28"/>
                <w:szCs w:val="28"/>
                <w:lang w:val="en-US" w:eastAsia="zh-CN"/>
              </w:rPr>
              <w:t>报价得分计算：</w:t>
            </w:r>
          </w:p>
          <w:p w14:paraId="6CF1882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①报价＞评审基准价，则报价得分=报价分值-偏差率*100*E</w:t>
            </w:r>
            <w:r>
              <w:rPr>
                <w:rFonts w:hint="eastAsia" w:ascii="黑体" w:hAnsi="黑体" w:eastAsia="黑体" w:cs="黑体"/>
                <w:sz w:val="28"/>
                <w:szCs w:val="28"/>
                <w:vertAlign w:val="subscript"/>
                <w:lang w:val="en-US" w:eastAsia="zh-CN"/>
              </w:rPr>
              <w:t>1</w:t>
            </w:r>
            <w:r>
              <w:rPr>
                <w:rFonts w:hint="eastAsia" w:ascii="黑体" w:hAnsi="黑体" w:eastAsia="黑体" w:cs="黑体"/>
                <w:sz w:val="28"/>
                <w:szCs w:val="28"/>
                <w:vertAlign w:val="baseline"/>
                <w:lang w:val="en-US" w:eastAsia="zh-CN"/>
              </w:rPr>
              <w:t>；</w:t>
            </w:r>
          </w:p>
          <w:p w14:paraId="6969455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②报价≤评审基准价，则报价得分=报价分值+偏差率*100*E</w:t>
            </w:r>
            <w:r>
              <w:rPr>
                <w:rFonts w:hint="eastAsia" w:ascii="黑体" w:hAnsi="黑体" w:eastAsia="黑体" w:cs="黑体"/>
                <w:sz w:val="28"/>
                <w:szCs w:val="28"/>
                <w:vertAlign w:val="subscript"/>
                <w:lang w:val="en-US" w:eastAsia="zh-CN"/>
              </w:rPr>
              <w:t>2</w:t>
            </w:r>
            <w:r>
              <w:rPr>
                <w:rFonts w:hint="eastAsia" w:ascii="黑体" w:hAnsi="黑体" w:eastAsia="黑体" w:cs="黑体"/>
                <w:sz w:val="28"/>
                <w:szCs w:val="28"/>
                <w:vertAlign w:val="baseline"/>
                <w:lang w:val="en-US" w:eastAsia="zh-CN"/>
              </w:rPr>
              <w:t>。</w:t>
            </w:r>
          </w:p>
          <w:p w14:paraId="48ACE43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得分值计算小数点后取两位有效，第三位四舍五入。</w:t>
            </w:r>
          </w:p>
          <w:p w14:paraId="3DCEA7F7">
            <w:pPr>
              <w:keepNext w:val="0"/>
              <w:keepLines w:val="0"/>
              <w:pageBreakBefore w:val="0"/>
              <w:widowControl w:val="0"/>
              <w:kinsoku/>
              <w:wordWrap/>
              <w:overflowPunct/>
              <w:topLinePunct w:val="0"/>
              <w:autoSpaceDE/>
              <w:autoSpaceDN/>
              <w:bidi w:val="0"/>
              <w:adjustRightInd/>
              <w:snapToGrid/>
              <w:spacing w:line="500" w:lineRule="exact"/>
              <w:ind w:firstLine="600"/>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注：在评审过程中，评审小组发现参选单位的报价明显低于其他人的报价，可能低于成本价的，评审委员会应当要求该参选单位在规定时间内作出书面说明并提供相关证明材料。参选单位不能合理说明或者不能提供相关证明材料的，由评审委员会认定该参选单位以低于成本报价竞争，取消其竞争资格。</w:t>
            </w:r>
          </w:p>
        </w:tc>
      </w:tr>
      <w:tr w14:paraId="0E90E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restart"/>
            <w:noWrap w:val="0"/>
            <w:vAlign w:val="top"/>
          </w:tcPr>
          <w:p w14:paraId="3B19F6B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2</w:t>
            </w:r>
          </w:p>
          <w:p w14:paraId="75D52B0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p>
        </w:tc>
        <w:tc>
          <w:tcPr>
            <w:tcW w:w="834" w:type="dxa"/>
            <w:vMerge w:val="restart"/>
            <w:noWrap w:val="0"/>
            <w:vAlign w:val="top"/>
          </w:tcPr>
          <w:p w14:paraId="2DB62E8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资信得分</w:t>
            </w:r>
          </w:p>
          <w:p w14:paraId="202F3E4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p>
          <w:p w14:paraId="08442F9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p>
        </w:tc>
        <w:tc>
          <w:tcPr>
            <w:tcW w:w="835" w:type="dxa"/>
            <w:noWrap w:val="0"/>
            <w:vAlign w:val="top"/>
          </w:tcPr>
          <w:p w14:paraId="45841F7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业绩要求</w:t>
            </w:r>
          </w:p>
        </w:tc>
        <w:tc>
          <w:tcPr>
            <w:tcW w:w="1425" w:type="dxa"/>
            <w:noWrap w:val="0"/>
            <w:vAlign w:val="top"/>
          </w:tcPr>
          <w:p w14:paraId="16CF2DD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40</w:t>
            </w:r>
          </w:p>
        </w:tc>
        <w:tc>
          <w:tcPr>
            <w:tcW w:w="4427" w:type="dxa"/>
            <w:noWrap w:val="0"/>
            <w:vAlign w:val="top"/>
          </w:tcPr>
          <w:p w14:paraId="7D5F6B4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2021年1月1日（时间以合同签订时间为准）至今具有类似项目业绩，每提供一份合同业绩得10分，本项满分40分。</w:t>
            </w:r>
          </w:p>
          <w:p w14:paraId="24772C78">
            <w:pPr>
              <w:keepNext w:val="0"/>
              <w:keepLines w:val="0"/>
              <w:pageBreakBefore w:val="0"/>
              <w:widowControl w:val="0"/>
              <w:kinsoku/>
              <w:wordWrap/>
              <w:overflowPunct/>
              <w:topLinePunct w:val="0"/>
              <w:autoSpaceDE/>
              <w:autoSpaceDN/>
              <w:bidi w:val="0"/>
              <w:adjustRightInd/>
              <w:snapToGrid/>
              <w:spacing w:line="500" w:lineRule="exact"/>
              <w:ind w:firstLine="600"/>
              <w:jc w:val="left"/>
              <w:textAlignment w:val="auto"/>
              <w:rPr>
                <w:rFonts w:hint="eastAsia" w:ascii="黑体" w:hAnsi="黑体" w:eastAsia="黑体" w:cs="黑体"/>
                <w:sz w:val="28"/>
                <w:szCs w:val="28"/>
                <w:vertAlign w:val="baseline"/>
                <w:lang w:val="en-US" w:eastAsia="zh-CN"/>
              </w:rPr>
            </w:pPr>
            <w:r>
              <w:rPr>
                <w:rFonts w:hint="eastAsia" w:ascii="仿宋_GB2312" w:hAnsi="仿宋_GB2312" w:eastAsia="仿宋_GB2312" w:cs="仿宋_GB2312"/>
                <w:sz w:val="32"/>
                <w:szCs w:val="32"/>
                <w:lang w:val="en-US" w:eastAsia="zh-CN"/>
              </w:rPr>
              <w:t>证明材料：须提供业绩合同复印件加盖公章，不提供不得分。</w:t>
            </w:r>
          </w:p>
        </w:tc>
      </w:tr>
      <w:tr w14:paraId="476EC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noWrap w:val="0"/>
            <w:vAlign w:val="top"/>
          </w:tcPr>
          <w:p w14:paraId="335B6A9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p>
        </w:tc>
        <w:tc>
          <w:tcPr>
            <w:tcW w:w="834" w:type="dxa"/>
            <w:vMerge w:val="continue"/>
            <w:noWrap w:val="0"/>
            <w:vAlign w:val="top"/>
          </w:tcPr>
          <w:p w14:paraId="46ED072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p>
        </w:tc>
        <w:tc>
          <w:tcPr>
            <w:tcW w:w="835" w:type="dxa"/>
            <w:noWrap w:val="0"/>
            <w:vAlign w:val="top"/>
          </w:tcPr>
          <w:p w14:paraId="52C4F80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管理机构</w:t>
            </w:r>
          </w:p>
        </w:tc>
        <w:tc>
          <w:tcPr>
            <w:tcW w:w="1425" w:type="dxa"/>
            <w:noWrap w:val="0"/>
            <w:vAlign w:val="top"/>
          </w:tcPr>
          <w:p w14:paraId="644C9F7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30</w:t>
            </w:r>
          </w:p>
        </w:tc>
        <w:tc>
          <w:tcPr>
            <w:tcW w:w="4427" w:type="dxa"/>
            <w:noWrap w:val="0"/>
            <w:vAlign w:val="top"/>
          </w:tcPr>
          <w:p w14:paraId="4C31742B">
            <w:pPr>
              <w:pStyle w:val="6"/>
              <w:spacing w:line="360"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项目团队配备</w:t>
            </w:r>
            <w:r>
              <w:rPr>
                <w:rFonts w:hint="eastAsia" w:ascii="仿宋_GB2312" w:hAnsi="仿宋_GB2312" w:eastAsia="仿宋_GB2312" w:cs="仿宋_GB2312"/>
                <w:sz w:val="32"/>
                <w:szCs w:val="32"/>
                <w:lang w:eastAsia="zh-CN"/>
              </w:rPr>
              <w:t>：</w:t>
            </w:r>
          </w:p>
          <w:p w14:paraId="6148CFB1">
            <w:pPr>
              <w:pStyle w:val="6"/>
              <w:numPr>
                <w:ilvl w:val="0"/>
                <w:numId w:val="0"/>
              </w:numPr>
              <w:spacing w:line="240" w:lineRule="auto"/>
              <w:ind w:leftChars="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1、项目负责人具有建筑工程类专业高级或以上职称得10分，具有建筑工程类专业中级工程师职称的得5分；证明材料：提供职称证书复印件。</w:t>
            </w:r>
          </w:p>
          <w:p w14:paraId="7DF1594E">
            <w:pPr>
              <w:pStyle w:val="6"/>
              <w:numPr>
                <w:ilvl w:val="0"/>
                <w:numId w:val="0"/>
              </w:numPr>
              <w:spacing w:line="240" w:lineRule="auto"/>
              <w:ind w:leftChars="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除项目负责人外，团队至少配备5人（含5人）检测人员。以上检测人员具有工程类高级工程师职称，配备齐全得20分，具有工程类中级工程师职称，配备得10分；不齐全且不得分；检测人员需具有建设主管部门或其委托的管理机构颁发的检测岗位证或职业能力水平评价证书或培训合格证。</w:t>
            </w:r>
          </w:p>
          <w:p w14:paraId="3A3ED50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kern w:val="2"/>
                <w:sz w:val="32"/>
                <w:szCs w:val="32"/>
                <w:lang w:val="en-US" w:eastAsia="zh-CN" w:bidi="ar-SA"/>
              </w:rPr>
              <w:t>证明材料：提供人员相关证书复印件加盖公章。以上人员均需提供相应证件复印件及2024年至今（需连续三个月）社保证明并加盖公章</w:t>
            </w:r>
          </w:p>
          <w:p w14:paraId="299A909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vertAlign w:val="baseline"/>
                <w:lang w:val="en-US" w:eastAsia="zh-CN"/>
              </w:rPr>
            </w:pPr>
            <w:r>
              <w:rPr>
                <w:rFonts w:hint="eastAsia" w:ascii="仿宋_GB2312" w:hAnsi="仿宋_GB2312" w:eastAsia="仿宋_GB2312" w:cs="仿宋_GB2312"/>
                <w:sz w:val="32"/>
                <w:szCs w:val="32"/>
                <w:lang w:val="en-US" w:eastAsia="zh-CN"/>
              </w:rPr>
              <w:t>。</w:t>
            </w:r>
          </w:p>
        </w:tc>
      </w:tr>
    </w:tbl>
    <w:p w14:paraId="632889AF">
      <w:pPr>
        <w:keepNext w:val="0"/>
        <w:keepLines w:val="0"/>
        <w:pageBreakBefore w:val="0"/>
        <w:widowControl w:val="0"/>
        <w:kinsoku/>
        <w:wordWrap/>
        <w:overflowPunct/>
        <w:topLinePunct w:val="0"/>
        <w:autoSpaceDE/>
        <w:autoSpaceDN/>
        <w:bidi w:val="0"/>
        <w:adjustRightInd/>
        <w:spacing w:line="500" w:lineRule="exact"/>
        <w:ind w:firstLine="6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注：如比选文件超出100页，则扣5分。</w:t>
      </w:r>
    </w:p>
    <w:p w14:paraId="670C585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0E2929"/>
    <w:rsid w:val="00271A2C"/>
    <w:rsid w:val="03BB2D49"/>
    <w:rsid w:val="063C1F34"/>
    <w:rsid w:val="168012C6"/>
    <w:rsid w:val="1BFB1B20"/>
    <w:rsid w:val="20601758"/>
    <w:rsid w:val="27CD177B"/>
    <w:rsid w:val="2F78555A"/>
    <w:rsid w:val="37CC04E8"/>
    <w:rsid w:val="42804679"/>
    <w:rsid w:val="531D2DF5"/>
    <w:rsid w:val="65A97E56"/>
    <w:rsid w:val="684F4723"/>
    <w:rsid w:val="6FCB1C52"/>
    <w:rsid w:val="750E2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363636"/>
      </a:dk1>
      <a:lt1>
        <a:sysClr val="window" lastClr="FCFCF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2025-03-14T08:31:00Z</dcterms:created>
  <dc:creator>林子尧</dc:creator>
  <cp:lastModifiedBy>林子尧</cp:lastModifiedBy>
  <dcterms:modified xsi:type="dcterms:W3CDTF">2025-03-14T08:31:30Z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F2591BC36C2F4CA192A5DE3255F7F379_11</vt:lpwstr>
  </property>
  <property fmtid="{D5CDD505-2E9C-101B-9397-08002B2CF9AE}" pid="4" name="KSOTemplateDocerSaveRecord">
    <vt:lpwstr>eyJoZGlkIjoiNTdkODIyOGM0ZWEyZjkwYTcxZDM2YTU3MDc0MzJlYWIiLCJ1c2VySWQiOiIxNjczNTk2NTYxIn0=</vt:lpwstr>
  </property>
</Properties>
</file>