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8E5B2">
      <w:pPr>
        <w:keepNext w:val="0"/>
        <w:keepLines w:val="0"/>
        <w:pageBreakBefore w:val="0"/>
        <w:kinsoku/>
        <w:wordWrap/>
        <w:overflowPunct/>
        <w:topLinePunct w:val="0"/>
        <w:autoSpaceDE/>
        <w:autoSpaceDN/>
        <w:bidi w:val="0"/>
        <w:spacing w:line="500" w:lineRule="exact"/>
        <w:ind w:firstLine="600"/>
        <w:jc w:val="center"/>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评审办法附表</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4"/>
        <w:gridCol w:w="835"/>
        <w:gridCol w:w="1425"/>
        <w:gridCol w:w="4427"/>
      </w:tblGrid>
      <w:tr w14:paraId="08A1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14:paraId="2893A049">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669" w:type="dxa"/>
            <w:gridSpan w:val="2"/>
            <w:noWrap w:val="0"/>
            <w:vAlign w:val="center"/>
          </w:tcPr>
          <w:p w14:paraId="2BF76026">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评审因素</w:t>
            </w:r>
          </w:p>
        </w:tc>
        <w:tc>
          <w:tcPr>
            <w:tcW w:w="1425" w:type="dxa"/>
            <w:noWrap w:val="0"/>
            <w:vAlign w:val="center"/>
          </w:tcPr>
          <w:p w14:paraId="2CE811A5">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分值（满分100分）</w:t>
            </w:r>
          </w:p>
        </w:tc>
        <w:tc>
          <w:tcPr>
            <w:tcW w:w="4427" w:type="dxa"/>
            <w:noWrap w:val="0"/>
            <w:vAlign w:val="center"/>
          </w:tcPr>
          <w:p w14:paraId="2D46EF77">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评审标准</w:t>
            </w:r>
          </w:p>
        </w:tc>
      </w:tr>
      <w:tr w14:paraId="7670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68DBDC8C">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669" w:type="dxa"/>
            <w:gridSpan w:val="2"/>
            <w:noWrap w:val="0"/>
            <w:vAlign w:val="top"/>
          </w:tcPr>
          <w:p w14:paraId="51A112F7">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w:t>
            </w:r>
          </w:p>
        </w:tc>
        <w:tc>
          <w:tcPr>
            <w:tcW w:w="1425" w:type="dxa"/>
            <w:noWrap w:val="0"/>
            <w:vAlign w:val="top"/>
          </w:tcPr>
          <w:p w14:paraId="2DE32323">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50</w:t>
            </w:r>
          </w:p>
        </w:tc>
        <w:tc>
          <w:tcPr>
            <w:tcW w:w="4427" w:type="dxa"/>
            <w:noWrap w:val="0"/>
            <w:vAlign w:val="top"/>
          </w:tcPr>
          <w:p w14:paraId="01F6F7F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以所有有效报价的算术平均数为评审基准价</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有效报价超过5（不含）家时，去掉1个最高有效报价，去掉一个最低有效报价，然后进行算术平均</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w:t>
            </w:r>
          </w:p>
          <w:p w14:paraId="1894E4C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偏差率=(比选单位报价-评审基准价)/评审基准价×100%。</w:t>
            </w:r>
          </w:p>
          <w:p w14:paraId="53C97D7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报价等于评审基准价的得满分，每高于评审基准价1%（含），扣0.2分（E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lang w:val="en-US" w:eastAsia="zh-CN"/>
              </w:rPr>
              <w:t>）；每低于评审基准价1%（含），扣0.4分（E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lang w:val="en-US" w:eastAsia="zh-CN"/>
              </w:rPr>
              <w:t>）。</w:t>
            </w:r>
          </w:p>
          <w:p w14:paraId="3DDB056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报价得分计算：</w:t>
            </w:r>
          </w:p>
          <w:p w14:paraId="1D5AD9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①报价＞评审基准价，则报价得分=报价分值-偏差率*100*E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vertAlign w:val="baseline"/>
                <w:lang w:val="en-US" w:eastAsia="zh-CN"/>
              </w:rPr>
              <w:t>；</w:t>
            </w:r>
          </w:p>
          <w:p w14:paraId="14FEF3A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②报价≤评审基准价，则报价得分=报价分值+偏差率*100*E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vertAlign w:val="baseline"/>
                <w:lang w:val="en-US" w:eastAsia="zh-CN"/>
              </w:rPr>
              <w:t>。</w:t>
            </w:r>
          </w:p>
          <w:p w14:paraId="3778F49B">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得分值计算小数点后取两位有效，第三位四舍五入。</w:t>
            </w:r>
          </w:p>
          <w:p w14:paraId="04E64EDE">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tr w14:paraId="3F23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val="0"/>
            <w:vAlign w:val="top"/>
          </w:tcPr>
          <w:p w14:paraId="49C3C221">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p w14:paraId="63AB62C2">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restart"/>
            <w:noWrap w:val="0"/>
            <w:vAlign w:val="top"/>
          </w:tcPr>
          <w:p w14:paraId="14A6074A">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资信得分</w:t>
            </w:r>
          </w:p>
          <w:p w14:paraId="5865BE67">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p w14:paraId="41C0E4E5">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top"/>
          </w:tcPr>
          <w:p w14:paraId="49AC2486">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业绩要求</w:t>
            </w:r>
          </w:p>
        </w:tc>
        <w:tc>
          <w:tcPr>
            <w:tcW w:w="1425" w:type="dxa"/>
            <w:noWrap w:val="0"/>
            <w:vAlign w:val="top"/>
          </w:tcPr>
          <w:p w14:paraId="2DAA1317">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4427" w:type="dxa"/>
            <w:noWrap w:val="0"/>
            <w:vAlign w:val="top"/>
          </w:tcPr>
          <w:p w14:paraId="2C1DDE48">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2022年1月1日（时间以合同签订时间为准）至今具有类似项目业绩，每提供一份合同业绩得5分，本项满分10分。</w:t>
            </w:r>
          </w:p>
          <w:p w14:paraId="757BB67A">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证明材料：须提供业绩合同复印件加盖公章，不提供不得分。</w:t>
            </w:r>
          </w:p>
        </w:tc>
      </w:tr>
      <w:tr w14:paraId="202B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noWrap w:val="0"/>
            <w:vAlign w:val="top"/>
          </w:tcPr>
          <w:p w14:paraId="17529C2A">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continue"/>
            <w:noWrap w:val="0"/>
            <w:vAlign w:val="top"/>
          </w:tcPr>
          <w:p w14:paraId="5915EB3E">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top"/>
          </w:tcPr>
          <w:p w14:paraId="474D1399">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管理机构</w:t>
            </w:r>
          </w:p>
        </w:tc>
        <w:tc>
          <w:tcPr>
            <w:tcW w:w="1425" w:type="dxa"/>
            <w:noWrap w:val="0"/>
            <w:vAlign w:val="top"/>
          </w:tcPr>
          <w:p w14:paraId="6093E104">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10</w:t>
            </w:r>
          </w:p>
        </w:tc>
        <w:tc>
          <w:tcPr>
            <w:tcW w:w="4427" w:type="dxa"/>
            <w:noWrap w:val="0"/>
            <w:vAlign w:val="top"/>
          </w:tcPr>
          <w:p w14:paraId="201851E4">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配备项目经理1人，技术负责人1  人，施工员1人，安全员1人，质量员1人，资料员1人，以上人员项目经理具备中级工程师及以上职称得3分，技术负责人具备中级工程师及以上职称得3分，其它人员具备相应岗位证的每个得1分，本项满分10分。</w:t>
            </w:r>
          </w:p>
          <w:p w14:paraId="367639D6">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证明材料：以上人员均需提供相应证件复印件加盖公章。</w:t>
            </w:r>
          </w:p>
        </w:tc>
      </w:tr>
      <w:tr w14:paraId="3BDD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3B01D2F9">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669" w:type="dxa"/>
            <w:gridSpan w:val="2"/>
            <w:noWrap w:val="0"/>
            <w:vAlign w:val="top"/>
          </w:tcPr>
          <w:p w14:paraId="094D2147">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方案得分</w:t>
            </w:r>
          </w:p>
        </w:tc>
        <w:tc>
          <w:tcPr>
            <w:tcW w:w="1425" w:type="dxa"/>
            <w:noWrap w:val="0"/>
            <w:vAlign w:val="top"/>
          </w:tcPr>
          <w:p w14:paraId="7DBD17C2">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4427" w:type="dxa"/>
            <w:noWrap w:val="0"/>
            <w:vAlign w:val="top"/>
          </w:tcPr>
          <w:p w14:paraId="4536B600">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针对外墙防水制定施工方案，需重点内容突出、有效，具有完整性、针对性、先进性；优秀得20-15（含）分，良好得15-11（含）分，一般得11-8（含）分，较差得8分以下。</w:t>
            </w:r>
          </w:p>
        </w:tc>
      </w:tr>
      <w:tr w14:paraId="4FB2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75A34798">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1669" w:type="dxa"/>
            <w:gridSpan w:val="2"/>
            <w:noWrap w:val="0"/>
            <w:vAlign w:val="top"/>
          </w:tcPr>
          <w:p w14:paraId="7621141A">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1425" w:type="dxa"/>
            <w:noWrap w:val="0"/>
            <w:vAlign w:val="top"/>
          </w:tcPr>
          <w:p w14:paraId="6E442640">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4427" w:type="dxa"/>
            <w:noWrap w:val="0"/>
            <w:vAlign w:val="top"/>
          </w:tcPr>
          <w:p w14:paraId="33C3534A">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r>
      <w:tr w14:paraId="1389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32E452AA">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1669" w:type="dxa"/>
            <w:gridSpan w:val="2"/>
            <w:noWrap w:val="0"/>
            <w:vAlign w:val="top"/>
          </w:tcPr>
          <w:p w14:paraId="66398E7E">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1425" w:type="dxa"/>
            <w:noWrap w:val="0"/>
            <w:vAlign w:val="top"/>
          </w:tcPr>
          <w:p w14:paraId="3A98F516">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4427" w:type="dxa"/>
            <w:noWrap w:val="0"/>
            <w:vAlign w:val="top"/>
          </w:tcPr>
          <w:p w14:paraId="124A77DE">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r>
    </w:tbl>
    <w:p w14:paraId="555949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C3434"/>
    <w:rsid w:val="082A61BF"/>
    <w:rsid w:val="083C7900"/>
    <w:rsid w:val="087A68A2"/>
    <w:rsid w:val="099A6F21"/>
    <w:rsid w:val="09F263B3"/>
    <w:rsid w:val="0C5739AB"/>
    <w:rsid w:val="0C8A51C1"/>
    <w:rsid w:val="0FD00D09"/>
    <w:rsid w:val="131B79F7"/>
    <w:rsid w:val="1CDC6CAD"/>
    <w:rsid w:val="22794147"/>
    <w:rsid w:val="227A35E9"/>
    <w:rsid w:val="28E62F91"/>
    <w:rsid w:val="2F486BCD"/>
    <w:rsid w:val="305E3010"/>
    <w:rsid w:val="31DE457C"/>
    <w:rsid w:val="32AE3F23"/>
    <w:rsid w:val="34386FAD"/>
    <w:rsid w:val="35684092"/>
    <w:rsid w:val="366C0C50"/>
    <w:rsid w:val="375F532F"/>
    <w:rsid w:val="379F1AB9"/>
    <w:rsid w:val="3B60579E"/>
    <w:rsid w:val="3EE34E79"/>
    <w:rsid w:val="3F632AE0"/>
    <w:rsid w:val="419254F9"/>
    <w:rsid w:val="44591B5A"/>
    <w:rsid w:val="4AEE731A"/>
    <w:rsid w:val="4C8A7E03"/>
    <w:rsid w:val="4ECE4439"/>
    <w:rsid w:val="4F842EC5"/>
    <w:rsid w:val="4FE16730"/>
    <w:rsid w:val="509B79EE"/>
    <w:rsid w:val="520F4ECF"/>
    <w:rsid w:val="56495091"/>
    <w:rsid w:val="58381A13"/>
    <w:rsid w:val="59EF4273"/>
    <w:rsid w:val="5A343B07"/>
    <w:rsid w:val="5A940AA3"/>
    <w:rsid w:val="5CBB063A"/>
    <w:rsid w:val="5E6C0AC2"/>
    <w:rsid w:val="5EEA6119"/>
    <w:rsid w:val="5EEE3A59"/>
    <w:rsid w:val="60EA3ECC"/>
    <w:rsid w:val="62696A2D"/>
    <w:rsid w:val="705B2024"/>
    <w:rsid w:val="737D098B"/>
    <w:rsid w:val="74593C86"/>
    <w:rsid w:val="7755272C"/>
    <w:rsid w:val="7ADE1467"/>
    <w:rsid w:val="7B4E4B6D"/>
    <w:rsid w:val="7B8C61B3"/>
    <w:rsid w:val="7E4E4A6E"/>
    <w:rsid w:val="7F4C2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2022-10-08T03:34:00Z</dcterms:created>
  <dc:creator>ASUS</dc:creator>
  <cp:lastModifiedBy>崔韶彬</cp:lastModifiedBy>
  <dcterms:modified xsi:type="dcterms:W3CDTF">2024-12-06T07:47:03Z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D1A339E90C52492EB579E7995B4EEA52</vt:lpwstr>
  </property>
</Properties>
</file>